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703" w:rsidRDefault="002E1703"/>
    <w:p w:rsidR="007C6B85" w:rsidRPr="007C6B85" w:rsidRDefault="007C6B85" w:rsidP="007C6B85">
      <w:pPr>
        <w:jc w:val="center"/>
        <w:rPr>
          <w:bCs/>
        </w:rPr>
      </w:pPr>
      <w:r w:rsidRPr="007C6B85">
        <w:rPr>
          <w:bCs/>
        </w:rPr>
        <w:t>Ziņojums par Lokālplānojuma Līvānu novada teritorijas plānojuma 2012. - 2024. gadam grozījumiem – Līvānu pilsētas centra teritorijai</w:t>
      </w:r>
    </w:p>
    <w:p w:rsidR="007C6B85" w:rsidRPr="007C6B85" w:rsidRDefault="007C6B85" w:rsidP="007C6B85">
      <w:pPr>
        <w:jc w:val="center"/>
        <w:rPr>
          <w:b/>
          <w:bCs/>
        </w:rPr>
      </w:pPr>
      <w:r>
        <w:rPr>
          <w:bCs/>
        </w:rPr>
        <w:t>Redakcijā 3.0 veiktajām izmaiņām</w:t>
      </w:r>
    </w:p>
    <w:p w:rsidR="007C6B85" w:rsidRPr="007C6B85" w:rsidRDefault="007C6B85" w:rsidP="007C6B85"/>
    <w:p w:rsidR="00587129" w:rsidRDefault="00587129" w:rsidP="007C6B85"/>
    <w:p w:rsidR="00587129" w:rsidRDefault="007C6B85" w:rsidP="007C6B85">
      <w:r w:rsidRPr="007C6B85">
        <w:t xml:space="preserve">Lokālplānojuma Līvānu novada teritorijas </w:t>
      </w:r>
      <w:r w:rsidR="00FA17E7">
        <w:t>plānojuma 2012.-</w:t>
      </w:r>
      <w:r w:rsidRPr="007C6B85">
        <w:t>2024. gadam grozījumiem – Līvānu pilsētas centra teritorijai (turpmāk – Lokālplānojums) Redakcijas 3.0 izstrād</w:t>
      </w:r>
      <w:r>
        <w:t>ē veiktas izmaiņas</w:t>
      </w:r>
      <w:r w:rsidR="00D16EEF">
        <w:t xml:space="preserve"> atbilstoši ar Līvānu novada </w:t>
      </w:r>
      <w:r w:rsidR="00D16EEF" w:rsidRPr="00D16EEF">
        <w:t>domes 2022. gada 27. janvāra lēmumu Nr. 2-11 “Par lokālplānojumu Līvānu novada teritorijas plānojuma 2012.-2024.gadam grozījumiem”</w:t>
      </w:r>
      <w:r w:rsidR="00FA17E7">
        <w:t xml:space="preserve"> (ar </w:t>
      </w:r>
      <w:r w:rsidR="00FA17E7" w:rsidRPr="00D16EEF">
        <w:t xml:space="preserve">2022. gada </w:t>
      </w:r>
      <w:r w:rsidR="00FA17E7">
        <w:t>30</w:t>
      </w:r>
      <w:r w:rsidR="00FA17E7" w:rsidRPr="00D16EEF">
        <w:t>. j</w:t>
      </w:r>
      <w:r w:rsidR="00FA17E7">
        <w:t>ūnija</w:t>
      </w:r>
      <w:r w:rsidR="00FA17E7" w:rsidRPr="00D16EEF">
        <w:t xml:space="preserve"> lēmumu Nr. 11</w:t>
      </w:r>
      <w:r w:rsidR="00FA17E7">
        <w:t>-30</w:t>
      </w:r>
      <w:r w:rsidR="00FA17E7" w:rsidRPr="00D16EEF">
        <w:t xml:space="preserve"> </w:t>
      </w:r>
      <w:r w:rsidR="00FA17E7">
        <w:t>grozījumiem)</w:t>
      </w:r>
      <w:r w:rsidR="00D16EEF">
        <w:t xml:space="preserve"> apstiprinātajam darba uzdevumam</w:t>
      </w:r>
      <w:r w:rsidR="00587129">
        <w:t>.</w:t>
      </w:r>
    </w:p>
    <w:p w:rsidR="00587129" w:rsidRDefault="00587129" w:rsidP="007C6B85"/>
    <w:p w:rsidR="007C6B85" w:rsidRDefault="00587129" w:rsidP="007C6B85">
      <w:r>
        <w:t>Institūcijas ir sniegušas atzinumus par Lokālplānojuma otro redakciju</w:t>
      </w:r>
      <w:r w:rsidR="008335C1">
        <w:t xml:space="preserve">, kas tika apstiprināta un pēc Vides aizsardzības un reģionālās attīstības ministrijas 2021. gada 1. novembra atzinuma Nr. </w:t>
      </w:r>
      <w:r w:rsidR="008335C1" w:rsidRPr="00D16EEF">
        <w:t>15-2/9636</w:t>
      </w:r>
      <w:r w:rsidR="008335C1">
        <w:t xml:space="preserve"> (turpmāk – ministrijas atzinums) saņemšanas tika atcelta, lai uzsāktu trešās redakcijas izstrādi, </w:t>
      </w:r>
      <w:r w:rsidR="007C6B85">
        <w:t>l</w:t>
      </w:r>
      <w:r w:rsidR="007C6B85" w:rsidRPr="007C6B85">
        <w:t xml:space="preserve">ai nodrošinātu atbilstību Lokālplānojuma izstrādes laikā </w:t>
      </w:r>
      <w:r w:rsidR="007C6B85">
        <w:t>izstrādātajiem</w:t>
      </w:r>
      <w:r w:rsidR="007C6B85" w:rsidRPr="007C6B85">
        <w:t xml:space="preserve"> normatīvajiem aktiem</w:t>
      </w:r>
      <w:r w:rsidR="00D16EEF">
        <w:t xml:space="preserve"> un novērstu atzinumā norādītās neprecizitātes.</w:t>
      </w:r>
    </w:p>
    <w:p w:rsidR="00D16EEF" w:rsidRDefault="00D16EEF" w:rsidP="007C6B85"/>
    <w:tbl>
      <w:tblPr>
        <w:tblStyle w:val="TableGrid"/>
        <w:tblW w:w="5000" w:type="pct"/>
        <w:tblLook w:val="04A0" w:firstRow="1" w:lastRow="0" w:firstColumn="1" w:lastColumn="0" w:noHBand="0" w:noVBand="1"/>
      </w:tblPr>
      <w:tblGrid>
        <w:gridCol w:w="1542"/>
        <w:gridCol w:w="3617"/>
        <w:gridCol w:w="3618"/>
      </w:tblGrid>
      <w:tr w:rsidR="002512CF" w:rsidTr="00080D6D">
        <w:trPr>
          <w:tblHeader/>
        </w:trPr>
        <w:tc>
          <w:tcPr>
            <w:tcW w:w="1413" w:type="dxa"/>
            <w:tcMar>
              <w:left w:w="57" w:type="dxa"/>
              <w:right w:w="57" w:type="dxa"/>
            </w:tcMar>
          </w:tcPr>
          <w:p w:rsidR="002A5811" w:rsidRDefault="008335C1" w:rsidP="007C6B85">
            <w:r>
              <w:t xml:space="preserve">Izmaiņu </w:t>
            </w:r>
            <w:r w:rsidR="002A5811">
              <w:t>nosaukums</w:t>
            </w:r>
          </w:p>
        </w:tc>
        <w:tc>
          <w:tcPr>
            <w:tcW w:w="3441" w:type="dxa"/>
            <w:tcMar>
              <w:left w:w="57" w:type="dxa"/>
              <w:right w:w="57" w:type="dxa"/>
            </w:tcMar>
            <w:vAlign w:val="center"/>
          </w:tcPr>
          <w:p w:rsidR="002A5811" w:rsidRDefault="002A5811" w:rsidP="005F0F5A">
            <w:pPr>
              <w:jc w:val="center"/>
            </w:pPr>
            <w:r>
              <w:t>Lokālplānojuma redakcija 2.0</w:t>
            </w:r>
          </w:p>
        </w:tc>
        <w:tc>
          <w:tcPr>
            <w:tcW w:w="3442" w:type="dxa"/>
            <w:tcMar>
              <w:left w:w="57" w:type="dxa"/>
              <w:right w:w="57" w:type="dxa"/>
            </w:tcMar>
            <w:vAlign w:val="center"/>
          </w:tcPr>
          <w:p w:rsidR="002A5811" w:rsidRDefault="002A5811" w:rsidP="005F0F5A">
            <w:pPr>
              <w:jc w:val="center"/>
            </w:pPr>
            <w:r>
              <w:t>Lokālplānojuma redakcija 3.0</w:t>
            </w:r>
          </w:p>
        </w:tc>
      </w:tr>
      <w:tr w:rsidR="002512CF" w:rsidTr="00080D6D">
        <w:tc>
          <w:tcPr>
            <w:tcW w:w="1413" w:type="dxa"/>
            <w:tcMar>
              <w:left w:w="57" w:type="dxa"/>
              <w:right w:w="57" w:type="dxa"/>
            </w:tcMar>
          </w:tcPr>
          <w:p w:rsidR="002A5811" w:rsidRDefault="002A5811" w:rsidP="007C6B85">
            <w:r>
              <w:t>Plānojuma nosaukums</w:t>
            </w:r>
          </w:p>
        </w:tc>
        <w:tc>
          <w:tcPr>
            <w:tcW w:w="3441" w:type="dxa"/>
            <w:tcMar>
              <w:left w:w="57" w:type="dxa"/>
              <w:right w:w="57" w:type="dxa"/>
            </w:tcMar>
          </w:tcPr>
          <w:p w:rsidR="002A5811" w:rsidRDefault="002A5811" w:rsidP="005F0F5A">
            <w:pPr>
              <w:jc w:val="left"/>
            </w:pPr>
            <w:r w:rsidRPr="002A5811">
              <w:t xml:space="preserve">Lokālplānojums Līvānu novada teritorijas plānojuma 2012.-2024.gadam grozījumiem, </w:t>
            </w:r>
            <w:r w:rsidRPr="002A5811">
              <w:br/>
              <w:t>nosakot Līvānu pilsētas sabiedriskā centra teritoriju, kurā tiek aizliegtas azartspēļu un izložu organizēšanas vietas</w:t>
            </w:r>
          </w:p>
        </w:tc>
        <w:tc>
          <w:tcPr>
            <w:tcW w:w="3442" w:type="dxa"/>
            <w:tcMar>
              <w:left w:w="57" w:type="dxa"/>
              <w:right w:w="57" w:type="dxa"/>
            </w:tcMar>
          </w:tcPr>
          <w:p w:rsidR="002A5811" w:rsidRDefault="002A5811" w:rsidP="005F0F5A">
            <w:pPr>
              <w:jc w:val="left"/>
            </w:pPr>
            <w:r w:rsidRPr="002A5811">
              <w:t>Lokālplānojums Līvānu novada teritorijas plānojuma 2012. - 2024. gadam grozījumiem – Līvānu pilsētas centra teritorijai</w:t>
            </w:r>
          </w:p>
        </w:tc>
      </w:tr>
      <w:tr w:rsidR="002512CF" w:rsidTr="00080D6D">
        <w:tc>
          <w:tcPr>
            <w:tcW w:w="1413" w:type="dxa"/>
            <w:tcMar>
              <w:left w:w="57" w:type="dxa"/>
              <w:right w:w="57" w:type="dxa"/>
            </w:tcMar>
          </w:tcPr>
          <w:p w:rsidR="0096401A" w:rsidRDefault="0096401A" w:rsidP="0096401A">
            <w:pPr>
              <w:jc w:val="left"/>
            </w:pPr>
            <w:r>
              <w:t xml:space="preserve">TIAN </w:t>
            </w:r>
          </w:p>
          <w:p w:rsidR="002A5811" w:rsidRDefault="0096401A" w:rsidP="0096401A">
            <w:pPr>
              <w:jc w:val="left"/>
            </w:pPr>
            <w:r>
              <w:t>1.2. Definīcijas</w:t>
            </w:r>
          </w:p>
        </w:tc>
        <w:tc>
          <w:tcPr>
            <w:tcW w:w="3441" w:type="dxa"/>
            <w:tcMar>
              <w:left w:w="57" w:type="dxa"/>
              <w:right w:w="57" w:type="dxa"/>
            </w:tcMar>
          </w:tcPr>
          <w:p w:rsidR="0096401A" w:rsidRPr="0096401A" w:rsidRDefault="0096401A" w:rsidP="0096401A">
            <w:r w:rsidRPr="0096401A">
              <w:rPr>
                <w:bCs/>
              </w:rPr>
              <w:t>Autostāvvieta</w:t>
            </w:r>
          </w:p>
          <w:p w:rsidR="0096401A" w:rsidRPr="0096401A" w:rsidRDefault="0096401A" w:rsidP="0096401A">
            <w:proofErr w:type="spellStart"/>
            <w:r w:rsidRPr="0096401A">
              <w:rPr>
                <w:bCs/>
              </w:rPr>
              <w:t>Būvlaide</w:t>
            </w:r>
            <w:proofErr w:type="spellEnd"/>
          </w:p>
          <w:p w:rsidR="0096401A" w:rsidRPr="0096401A" w:rsidRDefault="0096401A" w:rsidP="0096401A">
            <w:r w:rsidRPr="0096401A">
              <w:rPr>
                <w:bCs/>
              </w:rPr>
              <w:t xml:space="preserve">Ražošanas uzņēmumu apbūve </w:t>
            </w:r>
          </w:p>
          <w:p w:rsidR="0096401A" w:rsidRPr="0096401A" w:rsidRDefault="0096401A" w:rsidP="0096401A">
            <w:r w:rsidRPr="0096401A">
              <w:rPr>
                <w:bCs/>
              </w:rPr>
              <w:t>Vēsturiskā apbūve</w:t>
            </w:r>
          </w:p>
          <w:p w:rsidR="002A5811" w:rsidRPr="002A5811" w:rsidRDefault="0096401A" w:rsidP="0096401A">
            <w:pPr>
              <w:jc w:val="left"/>
            </w:pPr>
            <w:r w:rsidRPr="0096401A">
              <w:rPr>
                <w:bCs/>
              </w:rPr>
              <w:t>u.c.</w:t>
            </w:r>
          </w:p>
        </w:tc>
        <w:tc>
          <w:tcPr>
            <w:tcW w:w="3442" w:type="dxa"/>
            <w:tcMar>
              <w:left w:w="57" w:type="dxa"/>
              <w:right w:w="57" w:type="dxa"/>
            </w:tcMar>
          </w:tcPr>
          <w:p w:rsidR="0096401A" w:rsidRPr="0096401A" w:rsidRDefault="0096401A" w:rsidP="0096401A">
            <w:r w:rsidRPr="0096401A">
              <w:rPr>
                <w:bCs/>
              </w:rPr>
              <w:t>Svītroti,</w:t>
            </w:r>
            <w:r>
              <w:t xml:space="preserve"> jo ir </w:t>
            </w:r>
            <w:r w:rsidRPr="0096401A">
              <w:rPr>
                <w:bCs/>
                <w:iCs/>
              </w:rPr>
              <w:t>noteikti likumos un Ministru kabineta noteikumos</w:t>
            </w:r>
            <w:r>
              <w:t>.</w:t>
            </w:r>
          </w:p>
          <w:p w:rsidR="002A5811" w:rsidRPr="002A5811" w:rsidRDefault="0096401A" w:rsidP="0096401A">
            <w:pPr>
              <w:jc w:val="left"/>
            </w:pPr>
            <w:r>
              <w:rPr>
                <w:bCs/>
              </w:rPr>
              <w:t>Saglabāts termins “Vēsturiskā apbūve”</w:t>
            </w:r>
          </w:p>
        </w:tc>
      </w:tr>
      <w:tr w:rsidR="00587129" w:rsidTr="00080D6D">
        <w:tc>
          <w:tcPr>
            <w:tcW w:w="1413" w:type="dxa"/>
            <w:tcMar>
              <w:left w:w="57" w:type="dxa"/>
              <w:right w:w="57" w:type="dxa"/>
            </w:tcMar>
          </w:tcPr>
          <w:p w:rsidR="0096401A" w:rsidRDefault="0096401A" w:rsidP="0096401A">
            <w:pPr>
              <w:jc w:val="left"/>
            </w:pPr>
            <w:r>
              <w:t xml:space="preserve">TIAN </w:t>
            </w:r>
          </w:p>
          <w:p w:rsidR="0096401A" w:rsidRDefault="0096401A" w:rsidP="0096401A">
            <w:pPr>
              <w:jc w:val="left"/>
            </w:pPr>
            <w:r w:rsidRPr="0096401A">
              <w:t>2.2. Visā teritorijā aizliegtā izmantošana</w:t>
            </w:r>
          </w:p>
        </w:tc>
        <w:tc>
          <w:tcPr>
            <w:tcW w:w="3441" w:type="dxa"/>
            <w:tcMar>
              <w:left w:w="57" w:type="dxa"/>
              <w:right w:w="57" w:type="dxa"/>
            </w:tcMar>
          </w:tcPr>
          <w:p w:rsidR="0096401A" w:rsidRPr="0096401A" w:rsidRDefault="0096401A" w:rsidP="008171A5">
            <w:pPr>
              <w:jc w:val="left"/>
              <w:rPr>
                <w:bCs/>
              </w:rPr>
            </w:pPr>
            <w:r w:rsidRPr="0096401A">
              <w:rPr>
                <w:bCs/>
              </w:rPr>
              <w:t xml:space="preserve">24.5 organizēt azartspēles un sniegt azartspēļu pakalpojumus kazino, spēļu zālēs, </w:t>
            </w:r>
            <w:proofErr w:type="spellStart"/>
            <w:r w:rsidRPr="0096401A">
              <w:rPr>
                <w:bCs/>
              </w:rPr>
              <w:t>bingo</w:t>
            </w:r>
            <w:proofErr w:type="spellEnd"/>
            <w:r w:rsidRPr="0096401A">
              <w:rPr>
                <w:bCs/>
              </w:rPr>
              <w:t xml:space="preserve"> zālēs, kā arī totalizatora vai derību likmju pieņemšanas vietās.</w:t>
            </w:r>
          </w:p>
        </w:tc>
        <w:tc>
          <w:tcPr>
            <w:tcW w:w="3442" w:type="dxa"/>
            <w:tcMar>
              <w:left w:w="57" w:type="dxa"/>
              <w:right w:w="57" w:type="dxa"/>
            </w:tcMar>
          </w:tcPr>
          <w:p w:rsidR="0096401A" w:rsidRPr="0096401A" w:rsidRDefault="0096401A" w:rsidP="008171A5">
            <w:pPr>
              <w:jc w:val="left"/>
              <w:rPr>
                <w:bCs/>
              </w:rPr>
            </w:pPr>
            <w:r w:rsidRPr="0096401A">
              <w:rPr>
                <w:bCs/>
              </w:rPr>
              <w:t>Svītrots</w:t>
            </w:r>
            <w:r w:rsidR="0097572F">
              <w:rPr>
                <w:bCs/>
              </w:rPr>
              <w:t>, jo minētā</w:t>
            </w:r>
            <w:r>
              <w:rPr>
                <w:bCs/>
              </w:rPr>
              <w:t xml:space="preserve"> prasība ir iekļauta konkrēto funkcionālo zonu teritorijas izmantošanas veidu noteikumos (atkārtojas)</w:t>
            </w:r>
          </w:p>
        </w:tc>
      </w:tr>
      <w:tr w:rsidR="0096401A" w:rsidTr="00080D6D">
        <w:tc>
          <w:tcPr>
            <w:tcW w:w="1413" w:type="dxa"/>
            <w:tcMar>
              <w:left w:w="57" w:type="dxa"/>
              <w:right w:w="57" w:type="dxa"/>
            </w:tcMar>
          </w:tcPr>
          <w:p w:rsidR="0096401A" w:rsidRDefault="0096401A" w:rsidP="0096401A">
            <w:pPr>
              <w:jc w:val="left"/>
            </w:pPr>
            <w:r>
              <w:t xml:space="preserve">TIAN </w:t>
            </w:r>
          </w:p>
          <w:p w:rsidR="0096401A" w:rsidRDefault="0096401A" w:rsidP="0096401A">
            <w:pPr>
              <w:jc w:val="left"/>
            </w:pPr>
            <w:r w:rsidRPr="0096401A">
              <w:t>2.5. Aizsargjoslas un citi teritorijas izmantošanas aprobežojumi</w:t>
            </w:r>
          </w:p>
        </w:tc>
        <w:tc>
          <w:tcPr>
            <w:tcW w:w="3441" w:type="dxa"/>
            <w:tcMar>
              <w:left w:w="57" w:type="dxa"/>
              <w:right w:w="57" w:type="dxa"/>
            </w:tcMar>
          </w:tcPr>
          <w:p w:rsidR="0096401A" w:rsidRPr="0096401A" w:rsidRDefault="008171A5" w:rsidP="008171A5">
            <w:pPr>
              <w:jc w:val="left"/>
              <w:rPr>
                <w:bCs/>
              </w:rPr>
            </w:pPr>
            <w:r w:rsidRPr="008171A5">
              <w:rPr>
                <w:bCs/>
              </w:rPr>
              <w:t>34. Aizsargjoslas atbilstoši mēroga noteiktībai precizē detālplānojumos, zemes ierīcības projektos, apgrūtinājumu plānos un būvniecības ieceres dokumentācijā. Šie precizējumi nav lokālplānojuma grozījumi.</w:t>
            </w:r>
          </w:p>
        </w:tc>
        <w:tc>
          <w:tcPr>
            <w:tcW w:w="3442" w:type="dxa"/>
            <w:tcMar>
              <w:left w:w="57" w:type="dxa"/>
              <w:right w:w="57" w:type="dxa"/>
            </w:tcMar>
          </w:tcPr>
          <w:p w:rsidR="008171A5" w:rsidRPr="008171A5" w:rsidRDefault="008171A5" w:rsidP="008171A5">
            <w:pPr>
              <w:jc w:val="left"/>
              <w:rPr>
                <w:bCs/>
              </w:rPr>
            </w:pPr>
            <w:r w:rsidRPr="008171A5">
              <w:rPr>
                <w:bCs/>
              </w:rPr>
              <w:t xml:space="preserve">Svītrots, </w:t>
            </w:r>
          </w:p>
          <w:p w:rsidR="0096401A" w:rsidRPr="0096401A" w:rsidRDefault="008171A5" w:rsidP="008171A5">
            <w:pPr>
              <w:jc w:val="left"/>
              <w:rPr>
                <w:bCs/>
              </w:rPr>
            </w:pPr>
            <w:r>
              <w:rPr>
                <w:bCs/>
              </w:rPr>
              <w:t xml:space="preserve">jo </w:t>
            </w:r>
            <w:r w:rsidRPr="008171A5">
              <w:rPr>
                <w:bCs/>
              </w:rPr>
              <w:t>neatbilst Aizsargjoslu likumam</w:t>
            </w:r>
            <w:r>
              <w:rPr>
                <w:bCs/>
              </w:rPr>
              <w:t>.</w:t>
            </w:r>
          </w:p>
        </w:tc>
      </w:tr>
      <w:tr w:rsidR="008171A5" w:rsidTr="00080D6D">
        <w:tc>
          <w:tcPr>
            <w:tcW w:w="1413" w:type="dxa"/>
            <w:tcMar>
              <w:left w:w="57" w:type="dxa"/>
              <w:right w:w="57" w:type="dxa"/>
            </w:tcMar>
          </w:tcPr>
          <w:p w:rsidR="003D17DB" w:rsidRDefault="003D17DB" w:rsidP="0096401A">
            <w:pPr>
              <w:jc w:val="left"/>
            </w:pPr>
            <w:r>
              <w:t xml:space="preserve">TIAN </w:t>
            </w:r>
          </w:p>
          <w:p w:rsidR="008171A5" w:rsidRDefault="003D17DB" w:rsidP="0096401A">
            <w:pPr>
              <w:jc w:val="left"/>
            </w:pPr>
            <w:r w:rsidRPr="003D17DB">
              <w:t>3.2.2. Ūdensapgāde, notekūdeņu savākšana un attīrīšana</w:t>
            </w:r>
          </w:p>
        </w:tc>
        <w:tc>
          <w:tcPr>
            <w:tcW w:w="3441" w:type="dxa"/>
            <w:tcMar>
              <w:left w:w="57" w:type="dxa"/>
              <w:right w:w="57" w:type="dxa"/>
            </w:tcMar>
          </w:tcPr>
          <w:p w:rsidR="008171A5" w:rsidRPr="008171A5" w:rsidRDefault="003D17DB" w:rsidP="008171A5">
            <w:pPr>
              <w:jc w:val="left"/>
              <w:rPr>
                <w:bCs/>
              </w:rPr>
            </w:pPr>
            <w:r w:rsidRPr="003D17DB">
              <w:rPr>
                <w:bCs/>
              </w:rPr>
              <w:t xml:space="preserve">58. Ja objekts darbojas bez </w:t>
            </w:r>
            <w:proofErr w:type="spellStart"/>
            <w:r w:rsidRPr="003D17DB">
              <w:rPr>
                <w:bCs/>
              </w:rPr>
              <w:t>pieslēguma</w:t>
            </w:r>
            <w:proofErr w:type="spellEnd"/>
            <w:r w:rsidRPr="003D17DB">
              <w:rPr>
                <w:bCs/>
              </w:rPr>
              <w:t xml:space="preserve"> centralizētajai kanalizācijas sistēmai, īpašnieks ir atbildīgs par līguma noslēgšanu par neattīrītu notekūdeņu izsmelšanu un transportēšanu uz attīrīšanas ietaisēm. Aizliegta vides </w:t>
            </w:r>
            <w:r w:rsidRPr="003D17DB">
              <w:rPr>
                <w:bCs/>
              </w:rPr>
              <w:lastRenderedPageBreak/>
              <w:t>normatīviem neatbilstoši attīrītu notekūdeņu novadīšanas</w:t>
            </w:r>
            <w:r>
              <w:t xml:space="preserve"> </w:t>
            </w:r>
            <w:r w:rsidRPr="003D17DB">
              <w:rPr>
                <w:bCs/>
              </w:rPr>
              <w:t>ūdenstecēs, ūdenstilpēs, ūdensnotekās (grāvjos) un gruntī.</w:t>
            </w:r>
          </w:p>
        </w:tc>
        <w:tc>
          <w:tcPr>
            <w:tcW w:w="3442" w:type="dxa"/>
            <w:tcMar>
              <w:left w:w="57" w:type="dxa"/>
              <w:right w:w="57" w:type="dxa"/>
            </w:tcMar>
          </w:tcPr>
          <w:p w:rsidR="008A6858" w:rsidRPr="008A6858" w:rsidRDefault="008A6858" w:rsidP="008A6858">
            <w:pPr>
              <w:jc w:val="left"/>
              <w:rPr>
                <w:bCs/>
              </w:rPr>
            </w:pPr>
            <w:r w:rsidRPr="008A6858">
              <w:rPr>
                <w:bCs/>
              </w:rPr>
              <w:lastRenderedPageBreak/>
              <w:t xml:space="preserve">Svītrots, </w:t>
            </w:r>
          </w:p>
          <w:p w:rsidR="008171A5" w:rsidRPr="008171A5" w:rsidRDefault="008A6858" w:rsidP="008A6858">
            <w:pPr>
              <w:jc w:val="left"/>
              <w:rPr>
                <w:bCs/>
              </w:rPr>
            </w:pPr>
            <w:r>
              <w:rPr>
                <w:bCs/>
              </w:rPr>
              <w:t>jo i</w:t>
            </w:r>
            <w:r w:rsidRPr="008A6858">
              <w:rPr>
                <w:bCs/>
              </w:rPr>
              <w:t xml:space="preserve">r spēkā speciālie noteikumi (Līvānu novada domes 2019. gada 30. aprīļa saistošie noteikumi Nr. 7 “Par decentralizēto kanalizācijas pakalpojumu sniegšanas, uzskaites un kontroles kārtību Līvānu novada </w:t>
            </w:r>
            <w:r w:rsidRPr="008A6858">
              <w:rPr>
                <w:bCs/>
              </w:rPr>
              <w:lastRenderedPageBreak/>
              <w:t>pašvaldībā” (ar 28.11.2019. grozījumiem)</w:t>
            </w:r>
            <w:r>
              <w:rPr>
                <w:bCs/>
              </w:rPr>
              <w:t>.</w:t>
            </w:r>
          </w:p>
        </w:tc>
      </w:tr>
      <w:tr w:rsidR="008A6858" w:rsidTr="00080D6D">
        <w:tc>
          <w:tcPr>
            <w:tcW w:w="1413" w:type="dxa"/>
            <w:tcMar>
              <w:left w:w="57" w:type="dxa"/>
              <w:right w:w="57" w:type="dxa"/>
            </w:tcMar>
          </w:tcPr>
          <w:p w:rsidR="008A6858" w:rsidRDefault="008A6858" w:rsidP="0096401A">
            <w:pPr>
              <w:jc w:val="left"/>
            </w:pPr>
            <w:r>
              <w:lastRenderedPageBreak/>
              <w:t xml:space="preserve">TIAN </w:t>
            </w:r>
          </w:p>
          <w:p w:rsidR="008A6858" w:rsidRDefault="008A6858" w:rsidP="0096401A">
            <w:pPr>
              <w:jc w:val="left"/>
            </w:pPr>
            <w:r w:rsidRPr="008A6858">
              <w:t xml:space="preserve">3.4.4. Reklāmas objekti un </w:t>
            </w:r>
            <w:proofErr w:type="spellStart"/>
            <w:r w:rsidRPr="008A6858">
              <w:t>izkārtnes</w:t>
            </w:r>
            <w:proofErr w:type="spellEnd"/>
          </w:p>
        </w:tc>
        <w:tc>
          <w:tcPr>
            <w:tcW w:w="3441" w:type="dxa"/>
            <w:tcMar>
              <w:left w:w="57" w:type="dxa"/>
              <w:right w:w="57" w:type="dxa"/>
            </w:tcMar>
          </w:tcPr>
          <w:p w:rsidR="008A6858" w:rsidRDefault="008A6858" w:rsidP="008A6858">
            <w:pPr>
              <w:jc w:val="left"/>
              <w:rPr>
                <w:bCs/>
              </w:rPr>
            </w:pPr>
            <w:r w:rsidRPr="008A6858">
              <w:rPr>
                <w:bCs/>
              </w:rPr>
              <w:t xml:space="preserve">3.4.4. </w:t>
            </w:r>
            <w:r>
              <w:rPr>
                <w:bCs/>
              </w:rPr>
              <w:t>nodaļa</w:t>
            </w:r>
            <w:r w:rsidRPr="008A6858">
              <w:rPr>
                <w:bCs/>
              </w:rPr>
              <w:t xml:space="preserve"> </w:t>
            </w:r>
          </w:p>
          <w:p w:rsidR="008A6858" w:rsidRPr="003D17DB" w:rsidRDefault="008A6858" w:rsidP="008A6858">
            <w:pPr>
              <w:jc w:val="left"/>
              <w:rPr>
                <w:bCs/>
              </w:rPr>
            </w:pPr>
            <w:r w:rsidRPr="008A6858">
              <w:rPr>
                <w:bCs/>
              </w:rPr>
              <w:t xml:space="preserve">Reklāmas objekti un </w:t>
            </w:r>
            <w:proofErr w:type="spellStart"/>
            <w:r w:rsidRPr="008A6858">
              <w:rPr>
                <w:bCs/>
              </w:rPr>
              <w:t>izkārtnes</w:t>
            </w:r>
            <w:proofErr w:type="spellEnd"/>
            <w:r>
              <w:rPr>
                <w:bCs/>
              </w:rPr>
              <w:t xml:space="preserve"> </w:t>
            </w:r>
          </w:p>
        </w:tc>
        <w:tc>
          <w:tcPr>
            <w:tcW w:w="3442" w:type="dxa"/>
            <w:tcMar>
              <w:left w:w="57" w:type="dxa"/>
              <w:right w:w="57" w:type="dxa"/>
            </w:tcMar>
          </w:tcPr>
          <w:p w:rsidR="008A6858" w:rsidRPr="008A6858" w:rsidRDefault="008A6858" w:rsidP="008A6858">
            <w:pPr>
              <w:jc w:val="left"/>
            </w:pPr>
            <w:r w:rsidRPr="008A6858">
              <w:rPr>
                <w:bCs/>
              </w:rPr>
              <w:t xml:space="preserve">Svītrota nodaļa, </w:t>
            </w:r>
          </w:p>
          <w:p w:rsidR="008A6858" w:rsidRPr="008A6858" w:rsidRDefault="008A6858" w:rsidP="008A6858">
            <w:pPr>
              <w:jc w:val="left"/>
              <w:rPr>
                <w:bCs/>
              </w:rPr>
            </w:pPr>
            <w:r>
              <w:rPr>
                <w:bCs/>
                <w:iCs/>
              </w:rPr>
              <w:t xml:space="preserve">jo </w:t>
            </w:r>
            <w:r w:rsidRPr="008A6858">
              <w:rPr>
                <w:bCs/>
                <w:iCs/>
              </w:rPr>
              <w:t>jomu regulē Reklāmas likums, Alkoholisko dzērienu aprites likums, Tabakas izstrādājumu, augu smēķēšanas produktu, elektronisko smēķēšanas ierīču un to šķidrumu aprites likums, Narkotisko un psihotropo vielu un zāļu, kā arī prekursoru likumīgās aprites likums u.c. normatīvie akti. Kā arī Lokālplānojuma izstrādes laikā Finanšu ministrijas Azartspēļu un izložu politikas pamatnostādņu darba grupa izstrādā Ministru kabineta noteikumu projektu “Prasības azartspēļu</w:t>
            </w:r>
            <w:r w:rsidRPr="008A6858">
              <w:rPr>
                <w:bCs/>
                <w:i/>
                <w:iCs/>
              </w:rPr>
              <w:t xml:space="preserve"> </w:t>
            </w:r>
            <w:r w:rsidRPr="008A6858">
              <w:rPr>
                <w:bCs/>
                <w:iCs/>
              </w:rPr>
              <w:t>organizēšanas vietu fasādes noformējumam”.</w:t>
            </w:r>
          </w:p>
        </w:tc>
      </w:tr>
      <w:tr w:rsidR="008A6858" w:rsidTr="00080D6D">
        <w:tc>
          <w:tcPr>
            <w:tcW w:w="1413" w:type="dxa"/>
            <w:tcMar>
              <w:left w:w="57" w:type="dxa"/>
              <w:right w:w="57" w:type="dxa"/>
            </w:tcMar>
          </w:tcPr>
          <w:p w:rsidR="00716AF9" w:rsidRDefault="00716AF9" w:rsidP="0096401A">
            <w:pPr>
              <w:jc w:val="left"/>
            </w:pPr>
            <w:r>
              <w:t>GD un TIAN</w:t>
            </w:r>
          </w:p>
          <w:p w:rsidR="008A6858" w:rsidRDefault="00716AF9" w:rsidP="0096401A">
            <w:pPr>
              <w:jc w:val="left"/>
            </w:pPr>
            <w:r w:rsidRPr="00716AF9">
              <w:t>4. Prasības teritorijas izmantošanai un apbūves parametriem katrā funkcionālajā zonā</w:t>
            </w:r>
          </w:p>
        </w:tc>
        <w:tc>
          <w:tcPr>
            <w:tcW w:w="3441" w:type="dxa"/>
            <w:tcMar>
              <w:left w:w="57" w:type="dxa"/>
              <w:right w:w="57" w:type="dxa"/>
            </w:tcMar>
          </w:tcPr>
          <w:p w:rsidR="00FF0E21" w:rsidRPr="00FF0E21" w:rsidRDefault="00FF0E21" w:rsidP="00FF0E21">
            <w:r w:rsidRPr="00FF0E21">
              <w:rPr>
                <w:bCs/>
              </w:rPr>
              <w:t>4.1.1. nodaļa ….DzS1</w:t>
            </w:r>
          </w:p>
          <w:p w:rsidR="00FF0E21" w:rsidRPr="00FF0E21" w:rsidRDefault="00FF0E21" w:rsidP="00FF0E21">
            <w:r w:rsidRPr="00FF0E21">
              <w:rPr>
                <w:bCs/>
              </w:rPr>
              <w:t>4.1.2. nodaļa … DzM1</w:t>
            </w:r>
          </w:p>
          <w:p w:rsidR="00FF0E21" w:rsidRPr="00FF0E21" w:rsidRDefault="00FF0E21" w:rsidP="00FF0E21">
            <w:r w:rsidRPr="00FF0E21">
              <w:rPr>
                <w:bCs/>
              </w:rPr>
              <w:t>4.1.3. nodaļa … DzD1</w:t>
            </w:r>
          </w:p>
          <w:p w:rsidR="00FF0E21" w:rsidRPr="00FF0E21" w:rsidRDefault="00FF0E21" w:rsidP="00FF0E21">
            <w:r w:rsidRPr="00FF0E21">
              <w:rPr>
                <w:bCs/>
              </w:rPr>
              <w:t>4.4.1. nodaļa … P1</w:t>
            </w:r>
          </w:p>
          <w:p w:rsidR="00FF0E21" w:rsidRPr="00FF0E21" w:rsidRDefault="00FF0E21" w:rsidP="00FF0E21">
            <w:r w:rsidRPr="00FF0E21">
              <w:rPr>
                <w:bCs/>
              </w:rPr>
              <w:t>4.8.1. nodaļa … TA1</w:t>
            </w:r>
          </w:p>
          <w:p w:rsidR="00FF0E21" w:rsidRPr="00FF0E21" w:rsidRDefault="00FF0E21" w:rsidP="00FF0E21">
            <w:r w:rsidRPr="00FF0E21">
              <w:rPr>
                <w:bCs/>
              </w:rPr>
              <w:t>4.9.1. nodaļa … DA1</w:t>
            </w:r>
          </w:p>
          <w:p w:rsidR="008A6858" w:rsidRDefault="00FF0E21" w:rsidP="00FF0E21">
            <w:pPr>
              <w:jc w:val="left"/>
              <w:rPr>
                <w:bCs/>
              </w:rPr>
            </w:pPr>
            <w:r w:rsidRPr="00FF0E21">
              <w:rPr>
                <w:bCs/>
              </w:rPr>
              <w:t>4.12.1. nodaļa … Ū1</w:t>
            </w:r>
          </w:p>
          <w:p w:rsidR="00B330AE" w:rsidRPr="008A6858" w:rsidRDefault="00B330AE" w:rsidP="00FF0E21">
            <w:pPr>
              <w:jc w:val="left"/>
              <w:rPr>
                <w:bCs/>
              </w:rPr>
            </w:pPr>
            <w:r>
              <w:rPr>
                <w:bCs/>
              </w:rPr>
              <w:t xml:space="preserve">5.1.1. nodaļa. </w:t>
            </w:r>
            <w:r w:rsidRPr="00B330AE">
              <w:rPr>
                <w:bCs/>
              </w:rPr>
              <w:t>Sabiedriskā centra teritorija (TIN1</w:t>
            </w:r>
            <w:r>
              <w:rPr>
                <w:bCs/>
              </w:rPr>
              <w:t>1</w:t>
            </w:r>
            <w:r w:rsidRPr="00B330AE">
              <w:rPr>
                <w:bCs/>
              </w:rPr>
              <w:t>)</w:t>
            </w:r>
          </w:p>
        </w:tc>
        <w:tc>
          <w:tcPr>
            <w:tcW w:w="3442" w:type="dxa"/>
            <w:tcMar>
              <w:left w:w="57" w:type="dxa"/>
              <w:right w:w="57" w:type="dxa"/>
            </w:tcMar>
          </w:tcPr>
          <w:p w:rsidR="00FF0E21" w:rsidRPr="00FF0E21" w:rsidRDefault="00FF0E21" w:rsidP="00FF0E21">
            <w:proofErr w:type="spellStart"/>
            <w:r w:rsidRPr="00FF0E21">
              <w:rPr>
                <w:bCs/>
              </w:rPr>
              <w:t>DzS</w:t>
            </w:r>
            <w:proofErr w:type="spellEnd"/>
          </w:p>
          <w:p w:rsidR="00FF0E21" w:rsidRPr="00FF0E21" w:rsidRDefault="00FF0E21" w:rsidP="00FF0E21">
            <w:proofErr w:type="spellStart"/>
            <w:r w:rsidRPr="00FF0E21">
              <w:rPr>
                <w:bCs/>
              </w:rPr>
              <w:t>DzM</w:t>
            </w:r>
            <w:proofErr w:type="spellEnd"/>
          </w:p>
          <w:p w:rsidR="00FF0E21" w:rsidRPr="00FF0E21" w:rsidRDefault="00FF0E21" w:rsidP="00FF0E21">
            <w:proofErr w:type="spellStart"/>
            <w:r w:rsidRPr="00FF0E21">
              <w:rPr>
                <w:bCs/>
              </w:rPr>
              <w:t>DzD</w:t>
            </w:r>
            <w:proofErr w:type="spellEnd"/>
          </w:p>
          <w:p w:rsidR="00FF0E21" w:rsidRPr="00FF0E21" w:rsidRDefault="00FF0E21" w:rsidP="00FF0E21">
            <w:r w:rsidRPr="00FF0E21">
              <w:rPr>
                <w:bCs/>
              </w:rPr>
              <w:t>P</w:t>
            </w:r>
          </w:p>
          <w:p w:rsidR="00FF0E21" w:rsidRPr="00FF0E21" w:rsidRDefault="00FF0E21" w:rsidP="00FF0E21">
            <w:r w:rsidRPr="00FF0E21">
              <w:rPr>
                <w:bCs/>
              </w:rPr>
              <w:t>TA</w:t>
            </w:r>
          </w:p>
          <w:p w:rsidR="00FF0E21" w:rsidRPr="00FF0E21" w:rsidRDefault="00FF0E21" w:rsidP="00FF0E21">
            <w:r w:rsidRPr="00FF0E21">
              <w:rPr>
                <w:bCs/>
              </w:rPr>
              <w:t>DA</w:t>
            </w:r>
          </w:p>
          <w:p w:rsidR="00FF0E21" w:rsidRDefault="00FF0E21" w:rsidP="00FF0E21">
            <w:r w:rsidRPr="00FF0E21">
              <w:rPr>
                <w:bCs/>
              </w:rPr>
              <w:t>Ū</w:t>
            </w:r>
          </w:p>
          <w:p w:rsidR="00B330AE" w:rsidRPr="00FF0E21" w:rsidRDefault="00B330AE" w:rsidP="00B330AE">
            <w:pPr>
              <w:jc w:val="left"/>
            </w:pPr>
            <w:r w:rsidRPr="00B330AE">
              <w:rPr>
                <w:bCs/>
              </w:rPr>
              <w:t>TIN1</w:t>
            </w:r>
            <w:r>
              <w:t>,</w:t>
            </w:r>
          </w:p>
          <w:p w:rsidR="008A6858" w:rsidRPr="008A6858" w:rsidRDefault="00B330AE" w:rsidP="0097572F">
            <w:pPr>
              <w:jc w:val="left"/>
              <w:rPr>
                <w:bCs/>
              </w:rPr>
            </w:pPr>
            <w:r w:rsidRPr="00B330AE">
              <w:rPr>
                <w:bCs/>
                <w:iCs/>
              </w:rPr>
              <w:t>jo</w:t>
            </w:r>
            <w:r>
              <w:rPr>
                <w:bCs/>
              </w:rPr>
              <w:t xml:space="preserve"> i</w:t>
            </w:r>
            <w:r w:rsidRPr="00B330AE">
              <w:rPr>
                <w:bCs/>
              </w:rPr>
              <w:t xml:space="preserve">ndeksu nosaka Sistēmas (TAPIS) ģeotelpisko datu </w:t>
            </w:r>
            <w:r w:rsidR="0097572F">
              <w:rPr>
                <w:bCs/>
              </w:rPr>
              <w:t>rīks</w:t>
            </w:r>
            <w:bookmarkStart w:id="0" w:name="_GoBack"/>
            <w:bookmarkEnd w:id="0"/>
            <w:r w:rsidRPr="00B330AE">
              <w:rPr>
                <w:bCs/>
              </w:rPr>
              <w:t xml:space="preserve"> un to norāda ģeotelpisko datu slāņa atribūtos</w:t>
            </w:r>
          </w:p>
        </w:tc>
      </w:tr>
      <w:tr w:rsidR="00B330AE" w:rsidTr="00080D6D">
        <w:tc>
          <w:tcPr>
            <w:tcW w:w="1413" w:type="dxa"/>
            <w:tcMar>
              <w:left w:w="57" w:type="dxa"/>
              <w:right w:w="57" w:type="dxa"/>
            </w:tcMar>
          </w:tcPr>
          <w:p w:rsidR="00B330AE" w:rsidRDefault="002512CF" w:rsidP="0096401A">
            <w:pPr>
              <w:jc w:val="left"/>
            </w:pPr>
            <w:r>
              <w:t>TIAN</w:t>
            </w:r>
          </w:p>
          <w:p w:rsidR="002512CF" w:rsidRDefault="002512CF" w:rsidP="0096401A">
            <w:pPr>
              <w:jc w:val="left"/>
            </w:pPr>
            <w:r w:rsidRPr="002512CF">
              <w:t xml:space="preserve">6.1. Prasības </w:t>
            </w:r>
            <w:proofErr w:type="spellStart"/>
            <w:r w:rsidRPr="002512CF">
              <w:t>detāl</w:t>
            </w:r>
            <w:proofErr w:type="spellEnd"/>
            <w:r>
              <w:t>-</w:t>
            </w:r>
            <w:r w:rsidRPr="002512CF">
              <w:t>plānojumiem</w:t>
            </w:r>
          </w:p>
        </w:tc>
        <w:tc>
          <w:tcPr>
            <w:tcW w:w="3441" w:type="dxa"/>
            <w:tcMar>
              <w:left w:w="57" w:type="dxa"/>
              <w:right w:w="57" w:type="dxa"/>
            </w:tcMar>
          </w:tcPr>
          <w:p w:rsidR="002512CF" w:rsidRPr="002512CF" w:rsidRDefault="002512CF" w:rsidP="002512CF">
            <w:pPr>
              <w:jc w:val="left"/>
              <w:rPr>
                <w:bCs/>
              </w:rPr>
            </w:pPr>
            <w:r>
              <w:rPr>
                <w:bCs/>
              </w:rPr>
              <w:t xml:space="preserve">400. </w:t>
            </w:r>
            <w:r w:rsidRPr="002512CF">
              <w:rPr>
                <w:bCs/>
              </w:rPr>
              <w:t>Detālplānojumu izstrādā atbilstoši teritorijas plānojumā vai lokālplānojumā noteiktajai</w:t>
            </w:r>
          </w:p>
          <w:p w:rsidR="002512CF" w:rsidRPr="002512CF" w:rsidRDefault="002512CF" w:rsidP="002512CF">
            <w:pPr>
              <w:jc w:val="left"/>
              <w:rPr>
                <w:bCs/>
              </w:rPr>
            </w:pPr>
            <w:r w:rsidRPr="002512CF">
              <w:rPr>
                <w:bCs/>
              </w:rPr>
              <w:t>funkcionālajai zonai un tajā noteiktajām prasībām. Detālplānojuma darba uzdevumu nosaka atbilstoši Vispārīgajiem apbūves noteikumiem un iekļauj precizēt vismaz šādas teritorijas izmantošanas un apbūves prasības:</w:t>
            </w:r>
          </w:p>
          <w:p w:rsidR="002512CF" w:rsidRPr="002512CF" w:rsidRDefault="002512CF" w:rsidP="002512CF">
            <w:pPr>
              <w:jc w:val="left"/>
              <w:rPr>
                <w:bCs/>
              </w:rPr>
            </w:pPr>
            <w:r w:rsidRPr="002512CF">
              <w:rPr>
                <w:bCs/>
              </w:rPr>
              <w:t>400.1. teritorijas plānotā (atļautā) izmantošana katrai zemes vienībai,</w:t>
            </w:r>
          </w:p>
          <w:p w:rsidR="00B330AE" w:rsidRPr="00FF0E21" w:rsidRDefault="002512CF" w:rsidP="002512CF">
            <w:pPr>
              <w:rPr>
                <w:bCs/>
              </w:rPr>
            </w:pPr>
            <w:r w:rsidRPr="002512CF">
              <w:rPr>
                <w:bCs/>
              </w:rPr>
              <w:t>u.c.</w:t>
            </w:r>
          </w:p>
        </w:tc>
        <w:tc>
          <w:tcPr>
            <w:tcW w:w="3442" w:type="dxa"/>
            <w:tcMar>
              <w:left w:w="57" w:type="dxa"/>
              <w:right w:w="57" w:type="dxa"/>
            </w:tcMar>
          </w:tcPr>
          <w:p w:rsidR="00B330AE" w:rsidRPr="00FF0E21" w:rsidRDefault="002512CF" w:rsidP="002512CF">
            <w:pPr>
              <w:jc w:val="left"/>
              <w:rPr>
                <w:bCs/>
              </w:rPr>
            </w:pPr>
            <w:r w:rsidRPr="002512CF">
              <w:rPr>
                <w:bCs/>
              </w:rPr>
              <w:t>Svītrots</w:t>
            </w:r>
            <w:r>
              <w:rPr>
                <w:bCs/>
              </w:rPr>
              <w:t xml:space="preserve">, jo šīs </w:t>
            </w:r>
            <w:r w:rsidRPr="002512CF">
              <w:rPr>
                <w:bCs/>
                <w:iCs/>
              </w:rPr>
              <w:t>prasības detālplānojumiem</w:t>
            </w:r>
            <w:r w:rsidRPr="002512CF">
              <w:rPr>
                <w:bCs/>
              </w:rPr>
              <w:t xml:space="preserve"> </w:t>
            </w:r>
            <w:r w:rsidRPr="002512CF">
              <w:rPr>
                <w:bCs/>
                <w:iCs/>
              </w:rPr>
              <w:t xml:space="preserve">nosaka </w:t>
            </w:r>
            <w:r w:rsidRPr="002512CF">
              <w:rPr>
                <w:bCs/>
              </w:rPr>
              <w:t>Ministru kabineta 2014. gada 14. oktobra noteikum</w:t>
            </w:r>
            <w:r>
              <w:rPr>
                <w:bCs/>
              </w:rPr>
              <w:t>u</w:t>
            </w:r>
            <w:r w:rsidRPr="002512CF">
              <w:rPr>
                <w:bCs/>
              </w:rPr>
              <w:t xml:space="preserve"> Nr. 628 “Noteikumi par pašvaldību teritorijas attīstības plānošanas dokumentiem”</w:t>
            </w:r>
            <w:r>
              <w:rPr>
                <w:bCs/>
              </w:rPr>
              <w:t xml:space="preserve"> </w:t>
            </w:r>
            <w:r>
              <w:rPr>
                <w:bCs/>
                <w:iCs/>
              </w:rPr>
              <w:t>39.punkts.</w:t>
            </w:r>
          </w:p>
        </w:tc>
      </w:tr>
      <w:tr w:rsidR="002512CF" w:rsidTr="00080D6D">
        <w:tc>
          <w:tcPr>
            <w:tcW w:w="1413" w:type="dxa"/>
            <w:tcMar>
              <w:left w:w="57" w:type="dxa"/>
              <w:right w:w="57" w:type="dxa"/>
            </w:tcMar>
          </w:tcPr>
          <w:p w:rsidR="002512CF" w:rsidRDefault="00587129" w:rsidP="0096401A">
            <w:pPr>
              <w:jc w:val="left"/>
            </w:pPr>
            <w:r>
              <w:t xml:space="preserve">PR </w:t>
            </w:r>
          </w:p>
        </w:tc>
        <w:tc>
          <w:tcPr>
            <w:tcW w:w="3441" w:type="dxa"/>
            <w:tcMar>
              <w:left w:w="57" w:type="dxa"/>
              <w:right w:w="57" w:type="dxa"/>
            </w:tcMar>
          </w:tcPr>
          <w:p w:rsidR="002512CF" w:rsidRDefault="00587129" w:rsidP="00587129">
            <w:pPr>
              <w:jc w:val="left"/>
              <w:rPr>
                <w:bCs/>
              </w:rPr>
            </w:pPr>
            <w:r>
              <w:rPr>
                <w:bCs/>
              </w:rPr>
              <w:t xml:space="preserve">Informācija par valsts līmeņa politikas plānošanas dokumentu izstrādi un pašvaldību tiesisko </w:t>
            </w:r>
            <w:r>
              <w:rPr>
                <w:bCs/>
              </w:rPr>
              <w:lastRenderedPageBreak/>
              <w:t xml:space="preserve">kompetenci noteikt </w:t>
            </w:r>
            <w:r w:rsidRPr="00587129">
              <w:rPr>
                <w:bCs/>
              </w:rPr>
              <w:t>azartspēļu organizēšanas vietu</w:t>
            </w:r>
            <w:r>
              <w:rPr>
                <w:bCs/>
              </w:rPr>
              <w:t xml:space="preserve"> izvietojumu (Azartspēļu un izložu likums).</w:t>
            </w:r>
          </w:p>
          <w:p w:rsidR="00587129" w:rsidRDefault="00587129" w:rsidP="00587129">
            <w:pPr>
              <w:jc w:val="left"/>
              <w:rPr>
                <w:bCs/>
              </w:rPr>
            </w:pPr>
            <w:r>
              <w:rPr>
                <w:bCs/>
              </w:rPr>
              <w:t>Situācijas izklāsts, balstoties uz 2019. gadā veikto pētījumu “</w:t>
            </w:r>
            <w:r w:rsidRPr="00587129">
              <w:rPr>
                <w:bCs/>
              </w:rPr>
              <w:t>Priekšnosacījumi azartspēļu un izložu organizēšanas vietu noteikšanai Līvānu novadā”</w:t>
            </w:r>
            <w:r>
              <w:rPr>
                <w:bCs/>
              </w:rPr>
              <w:t>.</w:t>
            </w:r>
          </w:p>
        </w:tc>
        <w:tc>
          <w:tcPr>
            <w:tcW w:w="3442" w:type="dxa"/>
            <w:tcMar>
              <w:left w:w="57" w:type="dxa"/>
              <w:right w:w="57" w:type="dxa"/>
            </w:tcMar>
          </w:tcPr>
          <w:p w:rsidR="00587129" w:rsidRDefault="00587129" w:rsidP="00587129">
            <w:pPr>
              <w:jc w:val="left"/>
              <w:rPr>
                <w:bCs/>
              </w:rPr>
            </w:pPr>
            <w:r>
              <w:rPr>
                <w:bCs/>
              </w:rPr>
              <w:lastRenderedPageBreak/>
              <w:t xml:space="preserve">Aktualizēta informācija par Pašvaldību likuma, </w:t>
            </w:r>
            <w:r w:rsidRPr="00587129">
              <w:rPr>
                <w:bCs/>
              </w:rPr>
              <w:t>Azartspēļu un</w:t>
            </w:r>
            <w:r>
              <w:rPr>
                <w:bCs/>
              </w:rPr>
              <w:t xml:space="preserve"> </w:t>
            </w:r>
            <w:r>
              <w:rPr>
                <w:bCs/>
              </w:rPr>
              <w:lastRenderedPageBreak/>
              <w:t>izložu politikas pamatnostādņu</w:t>
            </w:r>
            <w:r w:rsidRPr="00587129">
              <w:rPr>
                <w:bCs/>
              </w:rPr>
              <w:t xml:space="preserve"> 2021.-2027. gadam</w:t>
            </w:r>
            <w:r w:rsidR="00080D6D">
              <w:rPr>
                <w:bCs/>
              </w:rPr>
              <w:t xml:space="preserve"> apstiprināšanu;</w:t>
            </w:r>
          </w:p>
          <w:p w:rsidR="00587129" w:rsidRPr="00587129" w:rsidRDefault="00587129" w:rsidP="00587129">
            <w:pPr>
              <w:jc w:val="left"/>
            </w:pPr>
            <w:r w:rsidRPr="00587129">
              <w:t>Aktualizēta informācija par spēļu zālēm</w:t>
            </w:r>
            <w:r>
              <w:t>;</w:t>
            </w:r>
          </w:p>
          <w:p w:rsidR="00587129" w:rsidRPr="00587129" w:rsidRDefault="00587129" w:rsidP="00587129">
            <w:pPr>
              <w:jc w:val="left"/>
            </w:pPr>
            <w:r w:rsidRPr="00587129">
              <w:t>Papildināts ar C</w:t>
            </w:r>
            <w:r>
              <w:t>SP karti par iedzīvotāju izvietojumu</w:t>
            </w:r>
            <w:r w:rsidRPr="00587129">
              <w:t xml:space="preserve"> Lokālplānojuma teritorijā </w:t>
            </w:r>
            <w:r>
              <w:t>(2.attēls</w:t>
            </w:r>
            <w:r w:rsidR="00080D6D">
              <w:t>);</w:t>
            </w:r>
          </w:p>
          <w:p w:rsidR="002512CF" w:rsidRPr="00587129" w:rsidRDefault="00587129" w:rsidP="002512CF">
            <w:pPr>
              <w:jc w:val="left"/>
            </w:pPr>
            <w:r w:rsidRPr="00587129">
              <w:t>Aktualizēta informācija par sabiedriskajiem objektiem</w:t>
            </w:r>
            <w:r>
              <w:t xml:space="preserve"> un p</w:t>
            </w:r>
            <w:r w:rsidRPr="00587129">
              <w:t>apildus veikta sabiedrisko objektu analīze atbilstoši Azartspēļu un izložu likuma (AIL) 41.panta otrajai daļai, kas nosaka objektus, kuros ir azartspēļu organizēšanas ierobežojumi</w:t>
            </w:r>
            <w:r>
              <w:t xml:space="preserve"> (3.attēls).</w:t>
            </w:r>
          </w:p>
        </w:tc>
      </w:tr>
    </w:tbl>
    <w:p w:rsidR="007C6B85" w:rsidRDefault="007C6B85" w:rsidP="007C6B85"/>
    <w:p w:rsidR="0096401A" w:rsidRDefault="0096401A" w:rsidP="007C6B85">
      <w:r>
        <w:t>Apzīmējumi:</w:t>
      </w:r>
    </w:p>
    <w:p w:rsidR="008335C1" w:rsidRDefault="008335C1" w:rsidP="007C6B85">
      <w:r>
        <w:t xml:space="preserve">AIL – </w:t>
      </w:r>
      <w:r w:rsidRPr="008335C1">
        <w:t>Azar</w:t>
      </w:r>
      <w:r>
        <w:t>tspēļu un izložu likums</w:t>
      </w:r>
      <w:r w:rsidRPr="008335C1">
        <w:t xml:space="preserve"> </w:t>
      </w:r>
    </w:p>
    <w:p w:rsidR="008335C1" w:rsidRDefault="008335C1" w:rsidP="007C6B85">
      <w:r>
        <w:t>CSP – Centrālā statistikas pārvalde</w:t>
      </w:r>
    </w:p>
    <w:p w:rsidR="008335C1" w:rsidRDefault="008335C1" w:rsidP="008335C1">
      <w:r>
        <w:t>GD – grafiskā daļa</w:t>
      </w:r>
    </w:p>
    <w:p w:rsidR="0096401A" w:rsidRDefault="0096401A" w:rsidP="007C6B85">
      <w:r>
        <w:t>PR – Paskaidrojuma raksts</w:t>
      </w:r>
    </w:p>
    <w:p w:rsidR="008335C1" w:rsidRDefault="008335C1" w:rsidP="007C6B85">
      <w:r>
        <w:t xml:space="preserve">TAPIS – </w:t>
      </w:r>
      <w:r w:rsidRPr="008335C1">
        <w:t>Teritorijas attīstības plānošanas informācijas sistēm</w:t>
      </w:r>
      <w:r>
        <w:t>a</w:t>
      </w:r>
    </w:p>
    <w:p w:rsidR="0096401A" w:rsidRDefault="0096401A" w:rsidP="007C6B85">
      <w:r>
        <w:t>TIAN – teritorijas izmantošanas un apbūves noteikumi</w:t>
      </w:r>
    </w:p>
    <w:p w:rsidR="00716AF9" w:rsidRDefault="00716AF9" w:rsidP="007C6B85"/>
    <w:p w:rsidR="002512CF" w:rsidRDefault="002512CF" w:rsidP="007C6B85"/>
    <w:p w:rsidR="007C6B85" w:rsidRDefault="007C6B85"/>
    <w:sectPr w:rsidR="007C6B85" w:rsidSect="00080D6D">
      <w:footerReference w:type="default" r:id="rId7"/>
      <w:pgSz w:w="11906" w:h="16838"/>
      <w:pgMar w:top="1134"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A11" w:rsidRDefault="00C27A11" w:rsidP="00080D6D">
      <w:r>
        <w:separator/>
      </w:r>
    </w:p>
  </w:endnote>
  <w:endnote w:type="continuationSeparator" w:id="0">
    <w:p w:rsidR="00C27A11" w:rsidRDefault="00C27A11" w:rsidP="0008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122978"/>
      <w:docPartObj>
        <w:docPartGallery w:val="Page Numbers (Bottom of Page)"/>
        <w:docPartUnique/>
      </w:docPartObj>
    </w:sdtPr>
    <w:sdtEndPr>
      <w:rPr>
        <w:noProof/>
      </w:rPr>
    </w:sdtEndPr>
    <w:sdtContent>
      <w:p w:rsidR="00080D6D" w:rsidRDefault="00080D6D">
        <w:pPr>
          <w:pStyle w:val="Footer"/>
          <w:jc w:val="center"/>
        </w:pPr>
        <w:r>
          <w:fldChar w:fldCharType="begin"/>
        </w:r>
        <w:r>
          <w:instrText xml:space="preserve"> PAGE   \* MERGEFORMAT </w:instrText>
        </w:r>
        <w:r>
          <w:fldChar w:fldCharType="separate"/>
        </w:r>
        <w:r w:rsidR="005D71CB">
          <w:rPr>
            <w:noProof/>
          </w:rPr>
          <w:t>3</w:t>
        </w:r>
        <w:r>
          <w:rPr>
            <w:noProof/>
          </w:rPr>
          <w:fldChar w:fldCharType="end"/>
        </w:r>
      </w:p>
    </w:sdtContent>
  </w:sdt>
  <w:p w:rsidR="00080D6D" w:rsidRDefault="00080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A11" w:rsidRDefault="00C27A11" w:rsidP="00080D6D">
      <w:r>
        <w:separator/>
      </w:r>
    </w:p>
  </w:footnote>
  <w:footnote w:type="continuationSeparator" w:id="0">
    <w:p w:rsidR="00C27A11" w:rsidRDefault="00C27A11" w:rsidP="0008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85"/>
    <w:rsid w:val="00080D6D"/>
    <w:rsid w:val="002512CF"/>
    <w:rsid w:val="002A5811"/>
    <w:rsid w:val="002E1703"/>
    <w:rsid w:val="0037250A"/>
    <w:rsid w:val="003D17DB"/>
    <w:rsid w:val="004104A4"/>
    <w:rsid w:val="00587129"/>
    <w:rsid w:val="005B69F8"/>
    <w:rsid w:val="005D71CB"/>
    <w:rsid w:val="005F0F5A"/>
    <w:rsid w:val="00716AF9"/>
    <w:rsid w:val="00740266"/>
    <w:rsid w:val="007B1AF9"/>
    <w:rsid w:val="007C6B85"/>
    <w:rsid w:val="008171A5"/>
    <w:rsid w:val="008335C1"/>
    <w:rsid w:val="008A6858"/>
    <w:rsid w:val="0096401A"/>
    <w:rsid w:val="0097572F"/>
    <w:rsid w:val="00B330AE"/>
    <w:rsid w:val="00BA2D60"/>
    <w:rsid w:val="00C27A11"/>
    <w:rsid w:val="00D16EEF"/>
    <w:rsid w:val="00DB0FFB"/>
    <w:rsid w:val="00E52938"/>
    <w:rsid w:val="00FA17E7"/>
    <w:rsid w:val="00FF0E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6E992-47DD-4720-BF9D-6352EEB8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85"/>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D6D"/>
    <w:pPr>
      <w:tabs>
        <w:tab w:val="center" w:pos="4153"/>
        <w:tab w:val="right" w:pos="8306"/>
      </w:tabs>
    </w:pPr>
  </w:style>
  <w:style w:type="character" w:customStyle="1" w:styleId="HeaderChar">
    <w:name w:val="Header Char"/>
    <w:basedOn w:val="DefaultParagraphFont"/>
    <w:link w:val="Header"/>
    <w:uiPriority w:val="99"/>
    <w:rsid w:val="00080D6D"/>
    <w:rPr>
      <w:rFonts w:ascii="Times New Roman" w:hAnsi="Times New Roman"/>
      <w:sz w:val="24"/>
    </w:rPr>
  </w:style>
  <w:style w:type="paragraph" w:styleId="Footer">
    <w:name w:val="footer"/>
    <w:basedOn w:val="Normal"/>
    <w:link w:val="FooterChar"/>
    <w:uiPriority w:val="99"/>
    <w:unhideWhenUsed/>
    <w:rsid w:val="00080D6D"/>
    <w:pPr>
      <w:tabs>
        <w:tab w:val="center" w:pos="4153"/>
        <w:tab w:val="right" w:pos="8306"/>
      </w:tabs>
    </w:pPr>
  </w:style>
  <w:style w:type="character" w:customStyle="1" w:styleId="FooterChar">
    <w:name w:val="Footer Char"/>
    <w:basedOn w:val="DefaultParagraphFont"/>
    <w:link w:val="Footer"/>
    <w:uiPriority w:val="99"/>
    <w:rsid w:val="00080D6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2996">
      <w:bodyDiv w:val="1"/>
      <w:marLeft w:val="0"/>
      <w:marRight w:val="0"/>
      <w:marTop w:val="0"/>
      <w:marBottom w:val="0"/>
      <w:divBdr>
        <w:top w:val="none" w:sz="0" w:space="0" w:color="auto"/>
        <w:left w:val="none" w:sz="0" w:space="0" w:color="auto"/>
        <w:bottom w:val="none" w:sz="0" w:space="0" w:color="auto"/>
        <w:right w:val="none" w:sz="0" w:space="0" w:color="auto"/>
      </w:divBdr>
    </w:div>
    <w:div w:id="83428648">
      <w:bodyDiv w:val="1"/>
      <w:marLeft w:val="0"/>
      <w:marRight w:val="0"/>
      <w:marTop w:val="0"/>
      <w:marBottom w:val="0"/>
      <w:divBdr>
        <w:top w:val="none" w:sz="0" w:space="0" w:color="auto"/>
        <w:left w:val="none" w:sz="0" w:space="0" w:color="auto"/>
        <w:bottom w:val="none" w:sz="0" w:space="0" w:color="auto"/>
        <w:right w:val="none" w:sz="0" w:space="0" w:color="auto"/>
      </w:divBdr>
    </w:div>
    <w:div w:id="156310129">
      <w:bodyDiv w:val="1"/>
      <w:marLeft w:val="0"/>
      <w:marRight w:val="0"/>
      <w:marTop w:val="0"/>
      <w:marBottom w:val="0"/>
      <w:divBdr>
        <w:top w:val="none" w:sz="0" w:space="0" w:color="auto"/>
        <w:left w:val="none" w:sz="0" w:space="0" w:color="auto"/>
        <w:bottom w:val="none" w:sz="0" w:space="0" w:color="auto"/>
        <w:right w:val="none" w:sz="0" w:space="0" w:color="auto"/>
      </w:divBdr>
    </w:div>
    <w:div w:id="383455342">
      <w:bodyDiv w:val="1"/>
      <w:marLeft w:val="0"/>
      <w:marRight w:val="0"/>
      <w:marTop w:val="0"/>
      <w:marBottom w:val="0"/>
      <w:divBdr>
        <w:top w:val="none" w:sz="0" w:space="0" w:color="auto"/>
        <w:left w:val="none" w:sz="0" w:space="0" w:color="auto"/>
        <w:bottom w:val="none" w:sz="0" w:space="0" w:color="auto"/>
        <w:right w:val="none" w:sz="0" w:space="0" w:color="auto"/>
      </w:divBdr>
    </w:div>
    <w:div w:id="720178854">
      <w:bodyDiv w:val="1"/>
      <w:marLeft w:val="0"/>
      <w:marRight w:val="0"/>
      <w:marTop w:val="0"/>
      <w:marBottom w:val="0"/>
      <w:divBdr>
        <w:top w:val="none" w:sz="0" w:space="0" w:color="auto"/>
        <w:left w:val="none" w:sz="0" w:space="0" w:color="auto"/>
        <w:bottom w:val="none" w:sz="0" w:space="0" w:color="auto"/>
        <w:right w:val="none" w:sz="0" w:space="0" w:color="auto"/>
      </w:divBdr>
    </w:div>
    <w:div w:id="898244214">
      <w:bodyDiv w:val="1"/>
      <w:marLeft w:val="0"/>
      <w:marRight w:val="0"/>
      <w:marTop w:val="0"/>
      <w:marBottom w:val="0"/>
      <w:divBdr>
        <w:top w:val="none" w:sz="0" w:space="0" w:color="auto"/>
        <w:left w:val="none" w:sz="0" w:space="0" w:color="auto"/>
        <w:bottom w:val="none" w:sz="0" w:space="0" w:color="auto"/>
        <w:right w:val="none" w:sz="0" w:space="0" w:color="auto"/>
      </w:divBdr>
    </w:div>
    <w:div w:id="1513180728">
      <w:bodyDiv w:val="1"/>
      <w:marLeft w:val="0"/>
      <w:marRight w:val="0"/>
      <w:marTop w:val="0"/>
      <w:marBottom w:val="0"/>
      <w:divBdr>
        <w:top w:val="none" w:sz="0" w:space="0" w:color="auto"/>
        <w:left w:val="none" w:sz="0" w:space="0" w:color="auto"/>
        <w:bottom w:val="none" w:sz="0" w:space="0" w:color="auto"/>
        <w:right w:val="none" w:sz="0" w:space="0" w:color="auto"/>
      </w:divBdr>
    </w:div>
    <w:div w:id="1859004891">
      <w:bodyDiv w:val="1"/>
      <w:marLeft w:val="0"/>
      <w:marRight w:val="0"/>
      <w:marTop w:val="0"/>
      <w:marBottom w:val="0"/>
      <w:divBdr>
        <w:top w:val="none" w:sz="0" w:space="0" w:color="auto"/>
        <w:left w:val="none" w:sz="0" w:space="0" w:color="auto"/>
        <w:bottom w:val="none" w:sz="0" w:space="0" w:color="auto"/>
        <w:right w:val="none" w:sz="0" w:space="0" w:color="auto"/>
      </w:divBdr>
    </w:div>
    <w:div w:id="191905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D13C-7A96-4B81-A2A4-FB70C7BC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3640</Words>
  <Characters>2076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cp:revision>
  <dcterms:created xsi:type="dcterms:W3CDTF">2023-01-13T11:29:00Z</dcterms:created>
  <dcterms:modified xsi:type="dcterms:W3CDTF">2023-01-19T10:48:00Z</dcterms:modified>
</cp:coreProperties>
</file>